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pStyle w:val="Heading1"/>
        <w:contextualSpacing w:val="0"/>
        <w:jc w:val="center"/>
      </w:pPr>
      <w:bookmarkStart w:id="0" w:colFirst="0" w:name="h.o3xj2x4eewke" w:colLast="0"/>
      <w:bookmarkEnd w:id="0"/>
      <w:r w:rsidRPr="00000000" w:rsidR="00000000" w:rsidDel="00000000">
        <w:rPr>
          <w:rtl w:val="0"/>
        </w:rPr>
        <w:t xml:space="preserve">Návrh na zlepšenie podmienok peších a cyklistov na Vysokej</w:t>
      </w:r>
    </w:p>
    <w:p w:rsidP="00000000" w:rsidRPr="00000000" w:rsidR="00000000" w:rsidDel="00000000" w:rsidRDefault="00000000">
      <w:pPr>
        <w:spacing w:lineRule="auto" w:after="0" w:line="276" w:before="0"/>
        <w:ind w:left="0" w:firstLine="0" w:right="0"/>
        <w:contextualSpacing w:val="0"/>
        <w:jc w:val="center"/>
      </w:pPr>
      <w:r w:rsidRPr="00000000" w:rsidR="00000000" w:rsidDel="00000000">
        <w:rPr>
          <w:rtl w:val="0"/>
        </w:rPr>
        <w:t xml:space="preserve">Autor:</w:t>
      </w:r>
      <w:r w:rsidRPr="00000000" w:rsidR="00000000" w:rsidDel="00000000">
        <w:rPr>
          <w:rtl w:val="0"/>
        </w:rPr>
        <w:t xml:space="preserve"> Cyklokoalícia, </w:t>
      </w:r>
      <w:hyperlink r:id="rId5">
        <w:r w:rsidRPr="00000000" w:rsidR="00000000" w:rsidDel="00000000">
          <w:rPr>
            <w:rtl w:val="0"/>
          </w:rPr>
          <w:t xml:space="preserve">info@cyklokoalicia.sk</w:t>
        </w:r>
      </w:hyperlink>
      <w:r w:rsidRPr="00000000" w:rsidR="00000000" w:rsidDel="00000000">
        <w:rPr>
          <w:rtl w:val="0"/>
        </w:rPr>
        <w:t xml:space="preserve">; Dátum: 2.8.2013</w:t>
      </w:r>
    </w:p>
    <w:p w:rsidP="00000000" w:rsidRPr="00000000" w:rsidR="00000000" w:rsidDel="00000000" w:rsidRDefault="00000000">
      <w:pPr>
        <w:spacing w:lineRule="auto" w:after="0" w:line="276" w:before="0"/>
        <w:ind w:left="0" w:firstLine="0" w:right="0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b w:val="1"/>
          <w:rtl w:val="0"/>
        </w:rPr>
        <w:t xml:space="preserve">Adresát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Váž. pani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Katarína Rausová</w:t>
        <w:br w:type="textWrapping"/>
        <w:t xml:space="preserve">MÚ MČ Bratislava - Staré Mesto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Vajanského nábr. 3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81421 Bratislava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spacing w:lineRule="auto" w:after="80" w:line="276" w:before="360"/>
        <w:ind w:left="0" w:firstLine="0" w:right="0"/>
        <w:contextualSpacing w:val="0"/>
        <w:jc w:val="both"/>
      </w:pPr>
      <w:bookmarkStart w:id="1" w:colFirst="0" w:name="h.2c0dlv5mv27" w:colLast="0"/>
      <w:bookmarkEnd w:id="1"/>
      <w:r w:rsidRPr="00000000" w:rsidR="00000000" w:rsidDel="00000000">
        <w:rPr>
          <w:rtl w:val="0"/>
        </w:rPr>
        <w:t xml:space="preserve">Súčasný stav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Vstup automobilom alebo bicyklom na Vysokú je možný zo Živnostenskej ul., ktorá Vysokú rozdeľuje na polovicu a dá sa odtiaľ pokračovať hore k Tatracentru alebo dole na Obchodnú. Živnostenská aj Vysoká sú jednosmerné.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Vysoká ulica je spojnica dvoch ulic v režime pešia zóna - Obchodnej a Poštovej. Chodník je vedení po oboch stranách ulice, ale je veľmi úzky, sú na ňom vyznačené parkovacie státia a nachádzajú ca na ňom mnohé prekážky, ako napr. biskupské blobúky, lampy, zábradlia, stĺpy. Pohyb kočíkmi alebo hendykepovými ľuďmi je veľmi obtiažny ak vôbec možný. Priestor nespĺňa estetické a kvalitativné kritériá na mestský priesto v centre hlavného mesta.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drawing>
          <wp:inline>
            <wp:extent cy="1628775" cx="2895600"/>
            <wp:docPr id="6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ext cy="1628775" cx="2895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>
            <wp:extent cy="1628775" cx="2895600"/>
            <wp:docPr id="7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ext cy="1628775" cx="2895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(vľavo: legálne parkujúce auto zaberá polovicu chodníka; vpravo: protiparkovacia zábrana alebo lampa znižuje šírku chodníka pre chodcov o tretinu)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V istých miestach je chodník v súkromnom vlastníctve, čiže ľudia sú nútení chodiť po ceste bez náhrady, čo považujeme v 21. storočí (navyše v úzkom centre mesta) za neakceptovateľné.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drawing>
          <wp:inline>
            <wp:extent cy="3352800" cx="5962650"/>
            <wp:docPr id="10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ext cy="3352800" cx="59626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(čierne vozidlá parkujúce na </w:t>
      </w:r>
      <w:r w:rsidRPr="00000000" w:rsidR="00000000" w:rsidDel="00000000">
        <w:rPr>
          <w:rtl w:val="0"/>
        </w:rPr>
        <w:t xml:space="preserve">súkromnom pozemku</w:t>
      </w:r>
      <w:r w:rsidRPr="00000000" w:rsidR="00000000" w:rsidDel="00000000">
        <w:rPr>
          <w:rtl w:val="0"/>
        </w:rPr>
        <w:t xml:space="preserve"> s červenou dlažbou - a chodci musia prejsť do vozovky; údaje o vlastníctve predmetného pozemku sú podľa katastra sporné)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Taktiež v dvoch miestach reštaurácie zaberajú chodník v plnej šírke svojou terasou (sedením vonku), pričom štandardom je nechať chodník prechodný a terasu posunúť na dnešné parkovacie miesta.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drawing>
          <wp:inline>
            <wp:extent cy="1609725" cx="2857500"/>
            <wp:docPr id="8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ext cy="1609725" cx="28575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>
            <wp:extent cy="1609725" cx="2867025"/>
            <wp:docPr id="5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ext cy="1609725" cx="286702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(vľavo i vpravo: terasy reštaurácií znemožnujú prechod chodcov a zároveň nemajú priestor rozrastať sa a vytvárať tak živú ulicu pre ľudí)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Na chodníku parkujú ilegálne motorové vozidlá, napriek tomu, že ide o zónu s regulovaným parkovaním.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drawing>
          <wp:inline>
            <wp:extent cy="3305175" cx="5876925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ext cy="3305175" cx="587692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(ilegálne, ale bežné, parkovanie na chodníku v zóne s parkovaním na vyhradených miestach)</w:t>
      </w:r>
    </w:p>
    <w:p w:rsidP="00000000" w:rsidRPr="00000000" w:rsidR="00000000" w:rsidDel="00000000" w:rsidRDefault="00000000">
      <w:pPr>
        <w:pStyle w:val="Heading3"/>
        <w:contextualSpacing w:val="0"/>
        <w:jc w:val="both"/>
      </w:pPr>
      <w:bookmarkStart w:id="2" w:colFirst="0" w:name="h.qphwuzd3q1w" w:colLast="0"/>
      <w:bookmarkEnd w:id="2"/>
      <w:r w:rsidRPr="00000000" w:rsidR="00000000" w:rsidDel="00000000">
        <w:rPr>
          <w:rtl w:val="0"/>
        </w:rPr>
        <w:t xml:space="preserve">Dopravný prieskum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  <w:t xml:space="preserve">Ulicou prešlo počas nášho pozorovania 1.8. od 7:23 do 8:23 (1 hodina) 210 ľudí, kým aút len 70 (z toho 3 v protismere). Ďalších 27 automobilov ulice použilo na zaparkovanie alebo naopak na odchod. Spolu sa na uliciach pohybovalo 97 automobilov. Z toho až 7x ulicou prešlo vozidlo SBS a 3x taxi. Až 46 (zo 70) vozidiel zo Živnostenskej odbočilo hore na Živnostenskú bez zastavenia, t.j. tranzit ku garážam. Dole Vysokou prešlo len 21 áut + 3 v protismere od Tatracentra až po Obchodnú. Z 27 parkujúcich (prichádzajúcich alebo odchádzajúcich) automobilov najviac (12) parkovalo v hornom úseku (väčšina vo dvoroch), 8 automobilov na dolnom úseku Vysokej a 7 priamo na Živnostenskej.</w:t>
      </w:r>
    </w:p>
    <w:p w:rsidP="00000000" w:rsidRPr="00000000" w:rsidR="00000000" w:rsidDel="00000000" w:rsidRDefault="00000000">
      <w:pPr>
        <w:spacing w:lineRule="auto" w:after="0" w:before="0"/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  <w:jc w:val="both"/>
      </w:pPr>
      <w:bookmarkStart w:id="3" w:colFirst="0" w:name="h.8vx4zz4zwdjp" w:colLast="0"/>
      <w:bookmarkEnd w:id="3"/>
      <w:r w:rsidRPr="00000000" w:rsidR="00000000" w:rsidDel="00000000">
        <w:rPr>
          <w:rtl w:val="0"/>
        </w:rPr>
        <w:t xml:space="preserve">Návrhy Cyklokoalície</w:t>
      </w:r>
    </w:p>
    <w:p w:rsidP="00000000" w:rsidRPr="00000000" w:rsidR="00000000" w:rsidDel="00000000" w:rsidRDefault="00000000">
      <w:pPr>
        <w:pStyle w:val="Heading3"/>
        <w:contextualSpacing w:val="0"/>
        <w:jc w:val="both"/>
      </w:pPr>
      <w:bookmarkStart w:id="4" w:colFirst="0" w:name="h.c2gi2lhw7csb" w:colLast="0"/>
      <w:bookmarkEnd w:id="4"/>
      <w:r w:rsidRPr="00000000" w:rsidR="00000000" w:rsidDel="00000000">
        <w:rPr>
          <w:rtl w:val="0"/>
        </w:rPr>
        <w:t xml:space="preserve">Variant 0: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Osadenie 4 značiek, ktoré povolia vjazd bicyklom cez celú Vysokú ulicu, doplnenie piktogramov bicyklov v križovatke s Živnostenskou a priebežne cez Vysokú. Počas prvých mesiacov časté hliadky mestskej polície monitorujúce pomalú jazdu aút a parkovanie.</w:t>
      </w:r>
    </w:p>
    <w:p w:rsidP="00000000" w:rsidRPr="00000000" w:rsidR="00000000" w:rsidDel="00000000" w:rsidRDefault="00000000">
      <w:pPr>
        <w:pStyle w:val="Heading3"/>
        <w:contextualSpacing w:val="0"/>
        <w:jc w:val="both"/>
      </w:pPr>
      <w:bookmarkStart w:id="5" w:colFirst="0" w:name="h.50j4vkseqvok" w:colLast="0"/>
      <w:bookmarkEnd w:id="5"/>
      <w:r w:rsidRPr="00000000" w:rsidR="00000000" w:rsidDel="00000000">
        <w:rPr>
          <w:rtl w:val="0"/>
        </w:rPr>
        <w:t xml:space="preserve">Variant 1: Pešia zóna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Navrhujeme zmenu režimu na celom úseku Vysokej na pešiu zónu, s povoleným prejazdom v smere Živnostenská - Obchodná tak ako to funguje aj dnes. Vrchú časť ulice v úseku Živnostenská - Tatracentrum navrhujeme zmeniť na štandarnú pešiu zónu s povoleným vjazdom zásobovaniu a majiteľom budov. Aby nedochádzalo k prejazdu, navrhujeme ulicu zaslepiť pomocou kvetináčov, lavičkami so zeleňou, cyklostojanmi, príp. inými estetickými zábranami, ktoré však nebudú prekážať chodcom a cyklistom (dostatočný odstup).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Tento variant počíta s presunutím</w:t>
      </w:r>
      <w:r w:rsidRPr="00000000" w:rsidR="00000000" w:rsidDel="00000000">
        <w:rPr>
          <w:rtl w:val="0"/>
        </w:rPr>
        <w:t xml:space="preserve"> tranzitnej dopravy zo smeru Staromestská - Kollárovo nám. - Živnostenská - Vysoká - Tatracentrum a Mýtna - Kollárovo nám. - Živnostenská - Vysoká - Tatracentrum. Od Staromestskej je možné 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b w:val="1"/>
          <w:rtl w:val="0"/>
        </w:rPr>
        <w:t xml:space="preserve">(A)</w:t>
      </w:r>
      <w:r w:rsidRPr="00000000" w:rsidR="00000000" w:rsidDel="00000000">
        <w:rPr>
          <w:rtl w:val="0"/>
        </w:rPr>
        <w:t xml:space="preserve"> odbočiť cez Suché mýto, 180-stupňová otočka na Hurbanovom nám., vpravo popri Crown Plaza do Tatracentra (</w:t>
      </w:r>
      <w:hyperlink r:id="rId12">
        <w:r w:rsidRPr="00000000" w:rsidR="00000000" w:rsidDel="00000000">
          <w:rPr>
            <w:color w:val="1155cc"/>
            <w:u w:val="single"/>
            <w:rtl w:val="0"/>
          </w:rPr>
          <w:t xml:space="preserve">http://osrm.at/4wF</w:t>
        </w:r>
      </w:hyperlink>
      <w:r w:rsidRPr="00000000" w:rsidR="00000000" w:rsidDel="00000000">
        <w:rPr>
          <w:rtl w:val="0"/>
        </w:rPr>
        <w:t xml:space="preserve">, je to o 100 metrov kratšie ako súčasné riešenie cez Kollárovo námestie</w:t>
      </w:r>
      <w:r w:rsidRPr="00000000" w:rsidR="00000000" w:rsidDel="00000000">
        <w:rPr>
          <w:rtl w:val="0"/>
        </w:rPr>
        <w:t xml:space="preserve">) alebo 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b w:val="1"/>
          <w:rtl w:val="0"/>
        </w:rPr>
        <w:t xml:space="preserve">(B)</w:t>
      </w:r>
      <w:r w:rsidRPr="00000000" w:rsidR="00000000" w:rsidDel="00000000">
        <w:rPr>
          <w:rtl w:val="0"/>
        </w:rPr>
        <w:t xml:space="preserve"> umožniť pravé odbočenie z podjazdu Hodžovo námestie (priestoru je tam dosť, viď návrhy) a od Mýtnej navrhujeme obchádzkovú trasu Mýtna - Nám. 1. mája - Hodžovo nám. - (180-stupnova otočka ako trolejbusy) - Tatracentrum.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drawing>
          <wp:inline>
            <wp:extent cy="3200400" cx="6019800"/>
            <wp:docPr id="2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ext cy="3200400" cx="60198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drawing>
          <wp:inline>
            <wp:extent cy="3209925" cx="6038850"/>
            <wp:docPr id="3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ext cy="3209925" cx="60388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Odstránením parkovania z Vysokej (ponechanie na Živnostenskej) vznikne priestor pre chodcov na prechádzanie a zároveň priestor pre kaviarne, ktoré sú teraz obmedzované. Pouličné posedenie prinesie atmosféru známu z historického centra so živými terasami obkolopenými kochlíkmi so zeleňou. Chýbajúce parkovacie miesta hravo nahradí neďaleká garáž Tatracentrum, parkovisko z Banskobystrickej ulice alebo garáž Park One, ktoré sú všetky v pešej dostupnosti do 2 minút a počas dňa majú voľné kapacity. Vyhradené parkovanie, ktoré predstavuje záber verejného priestoru, je neekonomické a navyše dotované z daní všetkých ľudí vrátane tých, ktorí nemajú možnosť (napr. sú miesta už zmluvne rezervované niekým iným a počas dňa/noci prázdne) alebo nechcú využívať takéto parkovacie miesta. V úzkom centre musí byť parkovacia politika mesta a mestskej časti opačná - čo najviac limitovať parkovanie v uličných priestoroch, špecificky, ak je v blízkom okolí množstvo parkovacích príležitostí. Na Vysokú je navyše vynikajúca dostupnosť všetkými druhmi MHD (električky na Obchodnej, autobusy a trolejbusy na Kollárovom nám., Nám. 1. mája a Hodžovom nám.).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Obidva varianty obsahujú dopravné značenie, ktoré explicitne zakazuje parkovanie mimo vyhradených miest.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b w:val="1"/>
          <w:rtl w:val="0"/>
        </w:rPr>
        <w:t xml:space="preserve">Variant 1a</w:t>
      </w:r>
      <w:r w:rsidRPr="00000000" w:rsidR="00000000" w:rsidDel="00000000">
        <w:rPr>
          <w:rtl w:val="0"/>
        </w:rPr>
        <w:t xml:space="preserve">: Zahŕňa rekonštrukciu povrchu formou dlažby, odstránenie obrubníkov aby vznikol jeden súvislí široký priestor pre ľudí v jednej rovine (ako na Obchodnej). Jazdný pruh pre autá v smere Živnostenská - Obchodná odporúčame vyznačiť farebnou dlažbou v režime ktorý neumožní rýchlu jazdu.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b w:val="1"/>
          <w:rtl w:val="0"/>
        </w:rPr>
        <w:t xml:space="preserve">Variant 1b</w:t>
      </w:r>
      <w:r w:rsidRPr="00000000" w:rsidR="00000000" w:rsidDel="00000000">
        <w:rPr>
          <w:rtl w:val="0"/>
        </w:rPr>
        <w:t xml:space="preserve">: Nezahŕňa stavebné úpravy. Priestor však navrhujeme podfarbiť a ohraničiť (viď príklad z USA - Manhattan, New York City)</w:t>
        <w:br w:type="textWrapping"/>
      </w:r>
      <w:r w:rsidRPr="00000000" w:rsidR="00000000" w:rsidDel="00000000">
        <w:drawing>
          <wp:inline>
            <wp:extent cy="4162425" cx="5743575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ext cy="4162425" cx="574357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(namaľovaním zelených pruhov na vozovku vznikli v New Yorku cyklopruhy a namaľovaním hnedých plôch vznikli nové priestory pre chodcov)</w:t>
      </w:r>
    </w:p>
    <w:p w:rsidP="00000000" w:rsidRPr="00000000" w:rsidR="00000000" w:rsidDel="00000000" w:rsidRDefault="00000000">
      <w:pPr>
        <w:pStyle w:val="Heading3"/>
        <w:contextualSpacing w:val="0"/>
        <w:jc w:val="both"/>
      </w:pPr>
      <w:bookmarkStart w:id="6" w:colFirst="0" w:name="h.syxe5uyx7jp5" w:colLast="0"/>
      <w:bookmarkEnd w:id="6"/>
      <w:r w:rsidRPr="00000000" w:rsidR="00000000" w:rsidDel="00000000">
        <w:rPr>
          <w:rtl w:val="0"/>
        </w:rPr>
        <w:t xml:space="preserve">Variant 2: Obytná zóna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Navrhujeme zrušenie parkovacie boxy na chodníkoch a čiastočne na vozovke a ich presun do poloprázdych podzemných garáží v blízkom okolí, konkrétne: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jc w:val="both"/>
        <w:rPr>
          <w:u w:val="none"/>
        </w:rPr>
      </w:pPr>
      <w:r w:rsidRPr="00000000" w:rsidR="00000000" w:rsidDel="00000000">
        <w:rPr>
          <w:rtl w:val="0"/>
        </w:rPr>
        <w:t xml:space="preserve">v úseku Živnostenská - Tatracentrum na oboch stranách ulice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jc w:val="both"/>
        <w:rPr>
          <w:u w:val="none"/>
        </w:rPr>
      </w:pPr>
      <w:r w:rsidRPr="00000000" w:rsidR="00000000" w:rsidDel="00000000">
        <w:rPr>
          <w:rtl w:val="0"/>
        </w:rPr>
        <w:t xml:space="preserve">v úseku Živnostenská - Obchodná na pravej strana ulice (ako je SLSP)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jc w:val="both"/>
        <w:rPr>
          <w:u w:val="none"/>
        </w:rPr>
      </w:pPr>
      <w:r w:rsidRPr="00000000" w:rsidR="00000000" w:rsidDel="00000000">
        <w:rPr>
          <w:rtl w:val="0"/>
        </w:rPr>
        <w:t xml:space="preserve">pred reštauráciami na ľavej strane ulice (pri pohľade od Tatracenta), aby sa mohli rozšíriť o priestor vozovky, ponúkať viac miest na sedenie (parklet - viď obrázok), lepšie služby, viac priestoru pre chodcov a zároveň prinesú viac života na Vysokú. Zároveň budú viditeľné vyššie výnosy z miestnych daní vďaka letným (ale i jarným a jesenným) terasám v príjemnom prostredí. 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drawing>
          <wp:inline>
            <wp:extent cy="3314700" cx="4762500"/>
            <wp:docPr id="1" name="image00.jpg"/>
            <a:graphic>
              <a:graphicData uri="http://schemas.openxmlformats.org/drawingml/2006/picture">
                <pic:pic>
                  <pic:nvPicPr>
                    <pic:cNvPr id="0" name="image00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ext cy="3314700" cx="47625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(parklet - efektívnejšie využitie parkovacieho miesta ako na parkovanie)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contextualSpacing w:val="0"/>
        <w:jc w:val="both"/>
      </w:pPr>
      <w:bookmarkStart w:id="7" w:colFirst="0" w:name="h.h65vq7q7dmp" w:colLast="0"/>
      <w:bookmarkEnd w:id="7"/>
      <w:r w:rsidRPr="00000000" w:rsidR="00000000" w:rsidDel="00000000">
        <w:rPr>
          <w:rtl w:val="0"/>
        </w:rPr>
        <w:t xml:space="preserve">Záver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Náš pôvodný návrh bol minimalistický, pár značiek malo zlegalizovať prejazd cyklistov celou dĺžkou ulice. Náklady na toto riešenie boli v desiatkách až stovkách eur. Keďže sme zistili, že situácia na Vysokej je nielen obmedzujúca pre cyklistov, ale aj pre chodcov a pritom tranzit vozidiel sa dá na Živnostenskej a Vysokej zmenou organizácie dopravy obmedziť na minimum (len pre rezidentov a zásobovanie a zaviesť napr. kontrolovaný vjazd), uvítali by sme diskusiu k prezentovaným variantom.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Cyklokoalícia sa už dlhšie venuje ochrane chodcov ako najzraniteľnejších účastníkov dopravy a skvalitneniu verejných priestorov.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Vysoká ulica je pre nás optimálnym príkladom na navrhované riešenie a zároveň rozšírenie pešej zóny s obmedzeným vjazdom. Je to ulica s potenciálom na priateľskosť ku chodcom, doplnená zelenými kvetináčmi (zeleň na ulici úplne absentuje) a vhodná na povoleniu vjazdu cyklistov obojsmerne. Tento návrh budeme prezentovať aj na najbližšej komisii pre pešiu a cyklistickú dopravu dňa 8.8. o 16:00 na pôde Hl. mesta Bratislava, kde zároveň pozývame kompetentného úradníka z MÚ Bratislava - Staré Mesto.</w:t>
      </w:r>
    </w:p>
    <w:sectPr>
      <w:headerReference r:id="rId17" w:type="default"/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Pr="00000000" w:rsidR="00000000" w:rsidDel="00000000" w:rsidRDefault="00000000">
    <w:pPr>
      <w:spacing w:lineRule="auto" w:after="200" w:line="276" w:before="0"/>
      <w:ind w:left="0" w:firstLine="0" w:right="0"/>
      <w:contextualSpacing w:val="0"/>
      <w:jc w:val="center"/>
    </w:pPr>
    <w:r w:rsidRPr="00000000" w:rsidR="00000000" w:rsidDel="00000000">
      <w:drawing>
        <wp:inline>
          <wp:extent cy="609600" cx="2743200"/>
          <wp:docPr id="11" name="image09.png"/>
          <a:graphic>
            <a:graphicData uri="http://schemas.openxmlformats.org/drawingml/2006/picture">
              <pic:pic>
                <pic:nvPicPr>
                  <pic:cNvPr id="0" name="image09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ext cy="609600" cx="2743200"/>
                  </a:xfrm>
                  <a:prstGeom prst="rect"/>
                </pic:spPr>
              </pic:pic>
            </a:graphicData>
          </a:graphic>
        </wp:inline>
      </w:drawing>
    </w:r>
    <w:r w:rsidRPr="00000000" w:rsidR="00000000" w:rsidDel="00000000">
      <w:rPr>
        <w:rtl w:val="0"/>
      </w:rPr>
      <w:br w:type="textWrapping"/>
      <w:t xml:space="preserve">Karadžičova 6, 82108 Bratislava | </w:t>
    </w:r>
    <w:hyperlink r:id="rId2">
      <w:r w:rsidRPr="00000000" w:rsidR="00000000" w:rsidDel="00000000">
        <w:rPr>
          <w:color w:val="1155cc"/>
          <w:u w:val="single"/>
          <w:rtl w:val="0"/>
        </w:rPr>
        <w:t xml:space="preserve">www.cyklokoalicia.sk</w:t>
      </w:r>
    </w:hyperlink>
    <w:r w:rsidRPr="00000000" w:rsidR="00000000" w:rsidDel="00000000">
      <w:rPr>
        <w:rtl w:val="0"/>
      </w:rPr>
      <w:t xml:space="preserve"> | info@cyklokoalicia.sk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lvl w:ilvl="0">
      <w:start w:val="1"/>
      <w:numFmt w:val="bullet"/>
      <w:lvlText w:val="●"/>
      <w:pPr>
        <w:ind w:left="720" w:firstLine="360"/>
      </w:pPr>
      <w:rPr>
        <w:u w:val="none"/>
      </w:rPr>
    </w:lvl>
    <w:lvl w:ilvl="1">
      <w:start w:val="1"/>
      <w:numFmt w:val="bullet"/>
      <w:lvlText w:val="○"/>
      <w:pPr>
        <w:ind w:left="1440" w:firstLine="1080"/>
      </w:pPr>
      <w:rPr>
        <w:u w:val="none"/>
      </w:rPr>
    </w:lvl>
    <w:lvl w:ilvl="2">
      <w:start w:val="1"/>
      <w:numFmt w:val="bullet"/>
      <w:lvlText w:val="■"/>
      <w:pPr>
        <w:ind w:left="2160" w:firstLine="1800"/>
      </w:pPr>
      <w:rPr>
        <w:u w:val="none"/>
      </w:rPr>
    </w:lvl>
    <w:lvl w:ilvl="3">
      <w:start w:val="1"/>
      <w:numFmt w:val="bullet"/>
      <w:lvlText w:val="●"/>
      <w:pPr>
        <w:ind w:left="2880" w:firstLine="2520"/>
      </w:pPr>
      <w:rPr>
        <w:u w:val="none"/>
      </w:rPr>
    </w:lvl>
    <w:lvl w:ilvl="4">
      <w:start w:val="1"/>
      <w:numFmt w:val="bullet"/>
      <w:lvlText w:val="○"/>
      <w:pPr>
        <w:ind w:left="3600" w:firstLine="3240"/>
      </w:pPr>
      <w:rPr>
        <w:u w:val="none"/>
      </w:rPr>
    </w:lvl>
    <w:lvl w:ilvl="5">
      <w:start w:val="1"/>
      <w:numFmt w:val="bullet"/>
      <w:lvlText w:val="■"/>
      <w:pPr>
        <w:ind w:left="4320" w:firstLine="3960"/>
      </w:pPr>
      <w:rPr>
        <w:u w:val="none"/>
      </w:rPr>
    </w:lvl>
    <w:lvl w:ilvl="6">
      <w:start w:val="1"/>
      <w:numFmt w:val="bullet"/>
      <w:lvlText w:val="●"/>
      <w:pPr>
        <w:ind w:left="5040" w:firstLine="4680"/>
      </w:pPr>
      <w:rPr>
        <w:u w:val="none"/>
      </w:rPr>
    </w:lvl>
    <w:lvl w:ilvl="7">
      <w:start w:val="1"/>
      <w:numFmt w:val="bullet"/>
      <w:lvlText w:val="○"/>
      <w:pPr>
        <w:ind w:left="5760" w:firstLine="5400"/>
      </w:pPr>
      <w:rPr>
        <w:u w:val="none"/>
      </w:rPr>
    </w:lvl>
    <w:lvl w:ilvl="8">
      <w:start w:val="1"/>
      <w:numFmt w:val="bullet"/>
      <w:lvlText w:val="■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120" w:before="480"/>
    </w:pPr>
    <w:rPr>
      <w:b w:val="1"/>
      <w:sz w:val="48"/>
    </w:rPr>
  </w:style>
  <w:style w:styleId="Heading2" w:type="paragraph">
    <w:name w:val="heading 2"/>
    <w:basedOn w:val="Normal"/>
    <w:next w:val="Normal"/>
    <w:pPr>
      <w:spacing w:lineRule="auto" w:after="80" w:before="360"/>
    </w:pPr>
    <w:rPr>
      <w:b w:val="1"/>
      <w:sz w:val="36"/>
    </w:rPr>
  </w:style>
  <w:style w:styleId="Heading3" w:type="paragraph">
    <w:name w:val="heading 3"/>
    <w:basedOn w:val="Normal"/>
    <w:next w:val="Normal"/>
    <w:pPr>
      <w:spacing w:lineRule="auto" w:after="80" w:before="280"/>
    </w:pPr>
    <w:rPr>
      <w:b w:val="1"/>
      <w:sz w:val="28"/>
    </w:rPr>
  </w:style>
  <w:style w:styleId="Heading4" w:type="paragraph">
    <w:name w:val="heading 4"/>
    <w:basedOn w:val="Normal"/>
    <w:next w:val="Normal"/>
    <w:pPr>
      <w:spacing w:lineRule="auto" w:after="40" w:before="240"/>
    </w:pPr>
    <w:rPr>
      <w:b w:val="1"/>
      <w:sz w:val="24"/>
    </w:rPr>
  </w:style>
  <w:style w:styleId="Heading5" w:type="paragraph">
    <w:name w:val="heading 5"/>
    <w:basedOn w:val="Normal"/>
    <w:next w:val="Normal"/>
    <w:pPr>
      <w:spacing w:lineRule="auto" w:after="40" w:before="220"/>
    </w:pPr>
    <w:rPr>
      <w:b w:val="1"/>
      <w:sz w:val="22"/>
    </w:rPr>
  </w:style>
  <w:style w:styleId="Heading6" w:type="paragraph">
    <w:name w:val="heading 6"/>
    <w:basedOn w:val="Normal"/>
    <w:next w:val="Normal"/>
    <w:pPr>
      <w:spacing w:lineRule="auto" w:after="40" w:before="200"/>
    </w:pPr>
    <w:rPr>
      <w:b w:val="1"/>
      <w:sz w:val="20"/>
    </w:rPr>
  </w:style>
  <w:style w:styleId="Title" w:type="paragraph">
    <w:name w:val="Title"/>
    <w:basedOn w:val="Normal"/>
    <w:next w:val="Normal"/>
    <w:pPr>
      <w:spacing w:lineRule="auto" w:after="120" w:before="480"/>
    </w:pPr>
    <w:rPr>
      <w:b w:val="1"/>
      <w:sz w:val="72"/>
    </w:rPr>
  </w:style>
  <w:style w:styleId="Subtitle" w:type="paragraph">
    <w:name w:val="Subtitle"/>
    <w:basedOn w:val="Normal"/>
    <w:next w:val="Normal"/>
    <w:pPr>
      <w:spacing w:lineRule="auto" w:after="80" w:before="360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header1.xml" Type="http://schemas.openxmlformats.org/officeDocument/2006/relationships/header" Id="rId17"/><Relationship Target="media/image00.jpg" Type="http://schemas.openxmlformats.org/officeDocument/2006/relationships/image" Id="rId16"/><Relationship Target="media/image07.png" Type="http://schemas.openxmlformats.org/officeDocument/2006/relationships/image" Id="rId15"/><Relationship Target="media/image02.jpg" Type="http://schemas.openxmlformats.org/officeDocument/2006/relationships/image" Id="rId14"/><Relationship Target="fontTable.xml" Type="http://schemas.openxmlformats.org/officeDocument/2006/relationships/fontTable" Id="rId2"/><Relationship Target="http://osrm.at/4wF" Type="http://schemas.openxmlformats.org/officeDocument/2006/relationships/hyperlink" TargetMode="External" Id="rId12"/><Relationship Target="settings.xml" Type="http://schemas.openxmlformats.org/officeDocument/2006/relationships/settings" Id="rId1"/><Relationship Target="media/image01.jpg" Type="http://schemas.openxmlformats.org/officeDocument/2006/relationships/image" Id="rId13"/><Relationship Target="styles.xml" Type="http://schemas.openxmlformats.org/officeDocument/2006/relationships/styles" Id="rId4"/><Relationship Target="media/image03.jpg" Type="http://schemas.openxmlformats.org/officeDocument/2006/relationships/image" Id="rId10"/><Relationship Target="numbering.xml" Type="http://schemas.openxmlformats.org/officeDocument/2006/relationships/numbering" Id="rId3"/><Relationship Target="media/image10.jpg" Type="http://schemas.openxmlformats.org/officeDocument/2006/relationships/image" Id="rId11"/><Relationship Target="media/image06.jpg" Type="http://schemas.openxmlformats.org/officeDocument/2006/relationships/image" Id="rId9"/><Relationship Target="media/image05.jpg" Type="http://schemas.openxmlformats.org/officeDocument/2006/relationships/image" Id="rId6"/><Relationship Target="mailto:info@cyklokoalicia.sk" Type="http://schemas.openxmlformats.org/officeDocument/2006/relationships/hyperlink" TargetMode="External" Id="rId5"/><Relationship Target="media/image08.jpg" Type="http://schemas.openxmlformats.org/officeDocument/2006/relationships/image" Id="rId8"/><Relationship Target="media/image04.jpg" Type="http://schemas.openxmlformats.org/officeDocument/2006/relationships/image" Id="rId7"/></Relationships>
</file>

<file path=word/_rels/header1.xml.rels><?xml version="1.0" encoding="UTF-8" standalone="yes"?><Relationships xmlns="http://schemas.openxmlformats.org/package/2006/relationships"><Relationship Target="http://www.cyklokoalicia.sk" Type="http://schemas.openxmlformats.org/officeDocument/2006/relationships/hyperlink" TargetMode="External" Id="rId2"/><Relationship Target="media/image09.png" Type="http://schemas.openxmlformats.org/officeDocument/2006/relationships/image" Id="rId1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na zlepšenie podmienok peších a cyklistov - Vysoká ulica.docx</dc:title>
</cp:coreProperties>
</file>